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b w:val="1"/>
          <w:bCs w:val="1"/>
        </w:rPr>
      </w:pPr>
      <w:r>
        <w:rPr>
          <w:b w:val="1"/>
          <w:bCs w:val="1"/>
        </w:rPr>
        <w:t>Algemene voorwaarden in de consumentenrelatie: een korte toelichting</w:t>
      </w:r>
    </w:p>
    <w:p/>
    <w:p>
      <w:r>
        <w:t>De algemene voorwaarden voor de nagelstudio zijn opgesteld voor gebruik in overeenkomsten met consumenten. Dat heeft directe gevolgen voor de eisen waaraan de voorwaarden moeten voldoen en de risico's die kleven aan bedingen die die eisen niet halen.</w:t>
      </w:r>
    </w:p>
    <w:p/>
    <w:p>
      <w:pPr>
        <w:rPr>
          <w:b w:val="1"/>
          <w:bCs w:val="1"/>
        </w:rPr>
      </w:pPr>
      <w:r>
        <w:rPr>
          <w:b w:val="1"/>
          <w:bCs w:val="1"/>
        </w:rPr>
        <w:t>Wat zijn algemene voorwaarden?</w:t>
      </w:r>
    </w:p>
    <w:p/>
    <w:p>
      <w:r>
        <w:t>Onder algemene voorwaarden worden verstaan bedingen die zijn opgesteld om in meerdere overeenkomsten te worden gebruikt, met uitzondering van bedingen die de kern van de prestatie omschrijven, mits die kernbedingen duidelijk en begrijpelijk zijn geformuleerd De nagelstudio is in dit verband de "gebruiker"; de klant is de "wederpartij".</w:t>
      </w:r>
    </w:p>
    <w:p/>
    <w:p>
      <w:pPr>
        <w:rPr>
          <w:b w:val="1"/>
          <w:bCs w:val="1"/>
        </w:rPr>
      </w:pPr>
      <w:r>
        <w:rPr>
          <w:b w:val="1"/>
          <w:bCs w:val="1"/>
        </w:rPr>
        <w:t>Terhandstelling: de voorwaarden moeten de klant bereiken</w:t>
      </w:r>
    </w:p>
    <w:p/>
    <w:p>
      <w:r>
        <w:t>Een beding in algemene voorwaarden is vernietigbaar als de gebruiker de wederpartij niet een redelijke mogelijkheid heeft geboden om van de voorwaarden kennis te nemen. De voorwaarden moeten voor of bij het sluiten van de overeenkomst ter hand worden gesteld, of langs elektronische weg beschikbaar worden gesteld op een wijze die opslag en latere raadpleging mogelijk maakt. Wordt de overeenkomst niet langs elektronische weg gesloten, dan is voor elektronische terbeschikkingstelling bovendien uitdrukkelijke instemming van de klant vereist. Uit de rechtspraak volgt dat een enkele verwijzing naar een website zonder directe toegang tot de voorwaarden onvoldoende is. Praktisch betekent dit: geef de klant de voorwaarden mee bij het maken van de afspraak, of zorg dat ze aantoonbaar beschikbaar zijn gesteld vóór het sluiten van de overeenkomst.</w:t>
      </w:r>
    </w:p>
    <w:p/>
    <w:p>
      <w:pPr>
        <w:rPr>
          <w:b w:val="1"/>
          <w:bCs w:val="1"/>
        </w:rPr>
      </w:pPr>
      <w:r>
        <w:rPr>
          <w:b w:val="1"/>
          <w:bCs w:val="1"/>
        </w:rPr>
        <w:t>Onredelijk bezwarende bedingen: zwarte en grijze lijst</w:t>
      </w:r>
    </w:p>
    <w:p/>
    <w:p>
      <w:r>
        <w:t xml:space="preserve">Zelfs als de voorwaarden correct zijn overhandigd, kunnen afzonderlijke bedingen vernietigbaar zijn als zij onredelijk bezwarend zijn voor de klant. </w:t>
      </w:r>
    </w:p>
    <w:p/>
    <w:p>
      <w:r>
        <w:t>Een oneerlijk beding wordt vernietigd door de rechter en de vordering op dat onderdeel afgewezen, ook als de nagelstudio in de procedure alleen een beroep doet op wettelijke bepalingen. Dit maakt het des te belangrijker dat de voorwaarden van meet af aan juridisch houdbaar zijn.</w:t>
      </w:r>
    </w:p>
    <w:p/>
    <w:p>
      <w:pPr>
        <w:rPr>
          <w:b w:val="1"/>
          <w:bCs w:val="1"/>
        </w:rPr>
      </w:pPr>
      <w:r>
        <w:rPr>
          <w:b w:val="1"/>
          <w:bCs w:val="1"/>
        </w:rPr>
        <w:t>Klachttermijnen en vervalbedingen</w:t>
      </w:r>
    </w:p>
    <w:p/>
    <w:p>
      <w:r>
        <w:t>Bijzondere aandacht verdienen bedingen die de klant verplichten binnen een korte termijn te klagen of rechten geldend te maken. Een contractuele klachttermijn van 48 uur is in een consumentenrelatie dan ook juridisch niet houdbaar. Daarom is er 14 dagen termijn opgenomen..</w:t>
      </w:r>
    </w:p>
    <w:p/>
    <w:p>
      <w:pPr>
        <w:rPr>
          <w:b w:val="1"/>
          <w:bCs w:val="1"/>
        </w:rPr>
      </w:pPr>
      <w:r>
        <w:rPr>
          <w:b w:val="1"/>
          <w:bCs w:val="1"/>
        </w:rPr>
        <w:t>Conclusie voor de praktijk</w:t>
      </w:r>
    </w:p>
    <w:p/>
    <w:p>
      <w:r>
        <w:t xml:space="preserve">Knap-Lab doet er goed aan de voorwaarden aantoonbaar ter hand te stellen aan iedere klant vóór of bij het sluiten van de overeenkomst, en dit zo mogelijk schriftelijk vast te leggen. </w:t>
      </w:r>
    </w:p>
    <w:sectPr>
      <w:type w:val="nextPage"/>
      <w:pgSz w:w="11906" w:h="16838" w:code="0"/>
      <w:pgMar w:left="1417" w:right="1417" w:top="1417" w:bottom="141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cs="Arial" w:eastAsiaTheme="minorHAnsi"/>
        <w:sz w:val="22"/>
        <w:szCs w:val="22"/>
        <w:kern w:val="2"/>
        <w:lang w:val="nl-NL"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spacing w:lineRule="atLeast" w:line="240" w:beforeAutospacing="0" w:afterAutospacing="0"/>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asciiTheme="minorHAnsi" w:hAnsiTheme="minorHAnsi"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asciiTheme="minorHAnsi" w:hAnsiTheme="minorHAnsi"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asciiTheme="minorHAnsi" w:hAnsiTheme="minorHAnsi"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beforeAutospacing="0" w:afterAutospacing="0"/>
      <w:outlineLvl w:val="5"/>
    </w:pPr>
    <w:rPr>
      <w:rFonts w:asciiTheme="minorHAnsi" w:hAnsiTheme="minorHAnsi"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beforeAutospacing="0" w:afterAutospacing="0"/>
      <w:outlineLvl w:val="6"/>
    </w:pPr>
    <w:rPr>
      <w:rFonts w:asciiTheme="minorHAnsi" w:hAnsiTheme="minorHAnsi" w:cstheme="majorBidi" w:eastAsiaTheme="majorEastAsia"/>
      <w:color w:val="595959" w:themeColor="text1" w:themeTint="A6"/>
    </w:rPr>
  </w:style>
  <w:style w:type="paragraph" w:styleId="P8">
    <w:name w:val="Heading 8"/>
    <w:basedOn w:val="P0"/>
    <w:next w:val="P0"/>
    <w:link w:val="C10"/>
    <w:semiHidden/>
    <w:qFormat/>
    <w:pPr>
      <w:keepNext w:val="1"/>
      <w:keepLines w:val="1"/>
      <w:outlineLvl w:val="7"/>
    </w:pPr>
    <w:rPr>
      <w:rFonts w:asciiTheme="minorHAnsi" w:hAnsiTheme="minorHAnsi"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outlineLvl w:val="8"/>
    </w:pPr>
    <w:rPr>
      <w:rFonts w:asciiTheme="minorHAnsi" w:hAnsiTheme="minorHAnsi"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spacing w:after="160" w:beforeAutospacing="0" w:afterAutospacing="0"/>
    </w:pPr>
    <w:rPr>
      <w:rFonts w:asciiTheme="minorHAnsi" w:hAnsiTheme="minorHAnsi" w:cstheme="majorBidi" w:eastAsiaTheme="majorEastAsia"/>
      <w:color w:val="595959" w:themeColor="text1" w:themeTint="A6"/>
      <w:sz w:val="28"/>
      <w:szCs w:val="28"/>
      <w:spacing w:val="15"/>
    </w:rPr>
  </w:style>
  <w:style w:type="paragraph" w:styleId="P12">
    <w:name w:val="Quote"/>
    <w:basedOn w:val="P0"/>
    <w:next w:val="P0"/>
    <w:link w:val="C14"/>
    <w:qFormat/>
    <w:pPr>
      <w:spacing w:before="160" w:after="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 1 Char"/>
    <w:basedOn w:val="C0"/>
    <w:link w:val="P1"/>
    <w:rPr>
      <w:rFonts w:asciiTheme="majorHAnsi" w:hAnsiTheme="majorHAnsi" w:cstheme="majorBidi" w:eastAsiaTheme="majorEastAsia"/>
      <w:color w:val="104861" w:themeColor="accent1" w:themeShade="BF"/>
      <w:sz w:val="40"/>
      <w:szCs w:val="40"/>
    </w:rPr>
  </w:style>
  <w:style w:type="character" w:styleId="C4">
    <w:name w:val="Kop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Kop 3 Char"/>
    <w:basedOn w:val="C0"/>
    <w:link w:val="P3"/>
    <w:semiHidden/>
    <w:rPr>
      <w:rFonts w:asciiTheme="minorHAnsi" w:hAnsiTheme="minorHAnsi" w:cstheme="majorBidi" w:eastAsiaTheme="majorEastAsia"/>
      <w:color w:val="104861" w:themeColor="accent1" w:themeShade="BF"/>
      <w:sz w:val="28"/>
      <w:szCs w:val="28"/>
    </w:rPr>
  </w:style>
  <w:style w:type="character" w:styleId="C6">
    <w:name w:val="Kop 4 Char"/>
    <w:basedOn w:val="C0"/>
    <w:link w:val="P4"/>
    <w:semiHidden/>
    <w:rPr>
      <w:rFonts w:asciiTheme="minorHAnsi" w:hAnsiTheme="minorHAnsi" w:cstheme="majorBidi" w:eastAsiaTheme="majorEastAsia"/>
      <w:i w:val="1"/>
      <w:iCs w:val="1"/>
      <w:color w:val="104861" w:themeColor="accent1" w:themeShade="BF"/>
    </w:rPr>
  </w:style>
  <w:style w:type="character" w:styleId="C7">
    <w:name w:val="Kop 5 Char"/>
    <w:basedOn w:val="C0"/>
    <w:link w:val="P5"/>
    <w:semiHidden/>
    <w:rPr>
      <w:rFonts w:asciiTheme="minorHAnsi" w:hAnsiTheme="minorHAnsi" w:cstheme="majorBidi" w:eastAsiaTheme="majorEastAsia"/>
      <w:color w:val="104861" w:themeColor="accent1" w:themeShade="BF"/>
    </w:rPr>
  </w:style>
  <w:style w:type="character" w:styleId="C8">
    <w:name w:val="Kop 6 Char"/>
    <w:basedOn w:val="C0"/>
    <w:link w:val="P6"/>
    <w:semiHidden/>
    <w:rPr>
      <w:rFonts w:asciiTheme="minorHAnsi" w:hAnsiTheme="minorHAnsi" w:cstheme="majorBidi" w:eastAsiaTheme="majorEastAsia"/>
      <w:i w:val="1"/>
      <w:iCs w:val="1"/>
      <w:color w:val="595959" w:themeColor="text1" w:themeTint="A6"/>
    </w:rPr>
  </w:style>
  <w:style w:type="character" w:styleId="C9">
    <w:name w:val="Kop 7 Char"/>
    <w:basedOn w:val="C0"/>
    <w:link w:val="P7"/>
    <w:semiHidden/>
    <w:rPr>
      <w:rFonts w:asciiTheme="minorHAnsi" w:hAnsiTheme="minorHAnsi" w:cstheme="majorBidi" w:eastAsiaTheme="majorEastAsia"/>
      <w:color w:val="595959" w:themeColor="text1" w:themeTint="A6"/>
    </w:rPr>
  </w:style>
  <w:style w:type="character" w:styleId="C10">
    <w:name w:val="Kop 8 Char"/>
    <w:basedOn w:val="C0"/>
    <w:link w:val="P8"/>
    <w:semiHidden/>
    <w:rPr>
      <w:rFonts w:asciiTheme="minorHAnsi" w:hAnsiTheme="minorHAnsi" w:cstheme="majorBidi" w:eastAsiaTheme="majorEastAsia"/>
      <w:i w:val="1"/>
      <w:iCs w:val="1"/>
      <w:color w:val="272727" w:themeColor="text1" w:themeTint="D8"/>
    </w:rPr>
  </w:style>
  <w:style w:type="character" w:styleId="C11">
    <w:name w:val="Kop 9 Char"/>
    <w:basedOn w:val="C0"/>
    <w:link w:val="P9"/>
    <w:semiHidden/>
    <w:rPr>
      <w:rFonts w:asciiTheme="minorHAnsi" w:hAnsiTheme="minorHAnsi" w:cstheme="majorBidi" w:eastAsiaTheme="majorEastAsia"/>
      <w:color w:val="272727" w:themeColor="text1" w:themeTint="D8"/>
    </w:rPr>
  </w:style>
  <w:style w:type="character" w:styleId="C12">
    <w:name w:val="Titel Char"/>
    <w:basedOn w:val="C0"/>
    <w:link w:val="P10"/>
    <w:rPr>
      <w:rFonts w:asciiTheme="majorHAnsi" w:hAnsiTheme="majorHAnsi" w:cstheme="majorBidi" w:eastAsiaTheme="majorEastAsia"/>
      <w:sz w:val="56"/>
      <w:szCs w:val="56"/>
      <w:spacing w:val="-10"/>
      <w:kern w:val="28"/>
    </w:rPr>
  </w:style>
  <w:style w:type="character" w:styleId="C13">
    <w:name w:val="Ondertitel Char"/>
    <w:basedOn w:val="C0"/>
    <w:link w:val="P11"/>
    <w:rPr>
      <w:rFonts w:asciiTheme="minorHAnsi" w:hAnsiTheme="minorHAnsi" w:cstheme="majorBidi" w:eastAsiaTheme="majorEastAsia"/>
      <w:color w:val="595959" w:themeColor="text1" w:themeTint="A6"/>
      <w:sz w:val="28"/>
      <w:szCs w:val="28"/>
      <w:spacing w:val="15"/>
    </w:rPr>
  </w:style>
  <w:style w:type="character" w:styleId="C14">
    <w:name w:val="Citaat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Duidelijk citaat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Yvonne (Y.J.M.) Rustenberg-Bergman</dc:creator>
  <dcterms:created xsi:type="dcterms:W3CDTF">2026-04-14T17:10:12Z</dcterms:created>
  <cp:lastModifiedBy>caitlyn bergman</cp:lastModifiedBy>
  <dcterms:modified xsi:type="dcterms:W3CDTF">2026-04-14T17:10:12Z</dcterms:modified>
  <cp:revision>2</cp:revision>
</cp:coreProperties>
</file>